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>防火门要求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具备生产销售国标甲级防火门的相关资质，防火门应符合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《BG17565-2007防盗安全门通用技术条件》与《G1312955-2019防火门》技术标准，不低于《G1312955-2019防火门》标准中A类甲级防火门标准。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防火门基本配置标准</w:t>
      </w:r>
    </w:p>
    <w:p>
      <w:pPr>
        <w:numPr>
          <w:ilvl w:val="0"/>
          <w:numId w:val="2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门框、门扇应采用优质冷轧热镀锌钢板，门框板材厚度不低于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2.0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mm，门扇板材厚度不低于1.0mm，门扇厚度不低于50mm。</w:t>
      </w:r>
    </w:p>
    <w:p>
      <w:pPr>
        <w:numPr>
          <w:ilvl w:val="0"/>
          <w:numId w:val="2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五金配件均为国标304不锈钢材质，其中颌铰链板材厚度不低于3.0mm。</w:t>
      </w:r>
    </w:p>
    <w:p>
      <w:pPr>
        <w:numPr>
          <w:ilvl w:val="0"/>
          <w:numId w:val="3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防火门门扇内填充物为珍珠岩板。</w:t>
      </w:r>
    </w:p>
    <w:p>
      <w:pPr>
        <w:numPr>
          <w:ilvl w:val="0"/>
          <w:numId w:val="3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防火门应配有闭门器及顺位器。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防火门其它所有材料均为对人体无毒无害的防火隔热材料。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质保期最低一年（包括所含五金配件）。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三、含税、含安装费用。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F8C450"/>
    <w:multiLevelType w:val="singleLevel"/>
    <w:tmpl w:val="A9F8C45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5FFAD6B"/>
    <w:multiLevelType w:val="singleLevel"/>
    <w:tmpl w:val="B5FFAD6B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13BDE2B"/>
    <w:multiLevelType w:val="singleLevel"/>
    <w:tmpl w:val="313BDE2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NGE5MzUzODA2NmVhOGVmZTMzYWIzYzk3ZTgyYTMifQ=="/>
  </w:docVars>
  <w:rsids>
    <w:rsidRoot w:val="00000000"/>
    <w:rsid w:val="12825AD3"/>
    <w:rsid w:val="7C57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2024-01-10T02:00:00Z</dcterms:created>
  <dc:creator>admin</dc:creator>
  <cp:lastModifiedBy>admin</cp:lastModifiedBy>
  <dcterms:modified xsi:type="dcterms:W3CDTF">2024-01-11T07:48:33Z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FD98E13CDA53485990A07DFAFE9747ED_12</vt:lpwstr>
  </property>
</Properties>
</file>